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0B" w:rsidRPr="00AB170B" w:rsidRDefault="00AB170B" w:rsidP="006C31DE">
      <w:pPr>
        <w:spacing w:before="204" w:after="136" w:line="240" w:lineRule="auto"/>
        <w:outlineLvl w:val="0"/>
        <w:rPr>
          <w:rFonts w:ascii="Lucida Sans Unicode" w:eastAsia="Times New Roman" w:hAnsi="Lucida Sans Unicode" w:cs="Lucida Sans Unicode"/>
          <w:color w:val="004C93"/>
          <w:kern w:val="36"/>
          <w:sz w:val="41"/>
          <w:szCs w:val="41"/>
          <w:lang w:eastAsia="fr-FR"/>
        </w:rPr>
      </w:pPr>
      <w:r w:rsidRPr="00AB170B">
        <w:rPr>
          <w:rFonts w:ascii="Lucida Sans Unicode" w:eastAsia="Times New Roman" w:hAnsi="Lucida Sans Unicode" w:cs="Lucida Sans Unicode"/>
          <w:color w:val="004C93"/>
          <w:kern w:val="36"/>
          <w:sz w:val="41"/>
          <w:szCs w:val="41"/>
          <w:lang w:eastAsia="fr-FR"/>
        </w:rPr>
        <w:t>Bulletin du 28 Septembre 2015</w:t>
      </w:r>
    </w:p>
    <w:p w:rsidR="00AB170B" w:rsidRPr="00AB170B" w:rsidRDefault="00AB170B" w:rsidP="006C31DE">
      <w:pPr>
        <w:spacing w:after="136" w:line="240" w:lineRule="auto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</w:p>
    <w:p w:rsidR="00AB170B" w:rsidRPr="00AB170B" w:rsidRDefault="00AB170B" w:rsidP="006C31DE">
      <w:pPr>
        <w:spacing w:before="272" w:after="68" w:line="240" w:lineRule="auto"/>
        <w:outlineLvl w:val="2"/>
        <w:rPr>
          <w:rFonts w:ascii="Helvetica" w:eastAsia="Times New Roman" w:hAnsi="Helvetica" w:cs="Helvetica"/>
          <w:b/>
          <w:bCs/>
          <w:color w:val="003B74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003B74"/>
          <w:lang w:eastAsia="fr-FR"/>
        </w:rPr>
        <w:t>DENGUE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France : 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Suite à la confirmation de 2 cas autochtones de dengue le 19/08/2015 chez deux personnes résidant au sein du même logement à Nîmes, une recherche active de cas a été organisée.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Bilan: 5 cas confirmés de dengue autochtone au total, (dont 3 nouveaux cas confirmés le 8/09)  tous ayant fréquenté le même quartier et ayant eu des symptômes entre le 8 et 18 août.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u w:val="single"/>
          <w:lang w:eastAsia="fr-FR"/>
        </w:rPr>
        <w:t>En pratique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 xml:space="preserve"> : Penser à demander la sérologie dengue et </w:t>
      </w:r>
      <w:proofErr w:type="spellStart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chikungunya</w:t>
      </w:r>
      <w:proofErr w:type="spellEnd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 xml:space="preserve"> chez les voyageurs au retour. Fièvre et douleurs rétro orbitaires sont souvent associées.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</w:t>
      </w:r>
    </w:p>
    <w:p w:rsidR="00AB170B" w:rsidRPr="00AB170B" w:rsidRDefault="00AB170B" w:rsidP="006C31DE">
      <w:pPr>
        <w:spacing w:before="272" w:after="68" w:line="240" w:lineRule="auto"/>
        <w:outlineLvl w:val="2"/>
        <w:rPr>
          <w:rFonts w:ascii="Helvetica" w:eastAsia="Times New Roman" w:hAnsi="Helvetica" w:cs="Helvetica"/>
          <w:b/>
          <w:bCs/>
          <w:color w:val="003B74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003B74"/>
          <w:lang w:eastAsia="fr-FR"/>
        </w:rPr>
        <w:t>MERS-</w:t>
      </w:r>
      <w:proofErr w:type="spellStart"/>
      <w:r w:rsidRPr="00AB170B">
        <w:rPr>
          <w:rFonts w:ascii="Helvetica" w:eastAsia="Times New Roman" w:hAnsi="Helvetica" w:cs="Helvetica"/>
          <w:b/>
          <w:bCs/>
          <w:color w:val="003B74"/>
          <w:lang w:eastAsia="fr-FR"/>
        </w:rPr>
        <w:t>CoV</w:t>
      </w:r>
      <w:proofErr w:type="spellEnd"/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Arabie Saoudite 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: 62 nouveaux cas du 1</w:t>
      </w:r>
      <w:r w:rsidRPr="00AB170B">
        <w:rPr>
          <w:rFonts w:ascii="Helvetica" w:eastAsia="Times New Roman" w:hAnsi="Helvetica" w:cs="Helvetica"/>
          <w:color w:val="2E465D"/>
          <w:sz w:val="14"/>
          <w:szCs w:val="14"/>
          <w:vertAlign w:val="superscript"/>
          <w:lang w:eastAsia="fr-FR"/>
        </w:rPr>
        <w:t>er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au 21 septembre</w:t>
      </w: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.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L’épidémie à transmission nosocomiale est toujours en cours à Riyad. Nouveau cluster hospitalier déclaré dans la ville de Médine depuis le 7 septembre 2015, le bilan est de 7 cas dont 4 professionnels de santé.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Interdiction de l’abattage traditionnel de chameaux pendant le Hajj cette année (déclaré le 11 septembre 2015).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u w:val="single"/>
          <w:lang w:eastAsia="fr-FR"/>
        </w:rPr>
        <w:t>En pratique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: vigilance au retour du pèlerinage. Les premiers vols de retour sont attendus à partir du lundi 28 septembre jusqu’au 15 octobre.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Mise en place d’une</w:t>
      </w: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 affiche 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dans les aéroports par le CORRUSS (Centre Opérationnel de Réception et de Régulation des Urgences Sanitaires)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</w:t>
      </w:r>
    </w:p>
    <w:p w:rsidR="00AB170B" w:rsidRPr="00AB170B" w:rsidRDefault="00AB170B" w:rsidP="006C31DE">
      <w:pPr>
        <w:spacing w:before="272" w:after="68" w:line="240" w:lineRule="auto"/>
        <w:outlineLvl w:val="2"/>
        <w:rPr>
          <w:rFonts w:ascii="Helvetica" w:eastAsia="Times New Roman" w:hAnsi="Helvetica" w:cs="Helvetica"/>
          <w:b/>
          <w:bCs/>
          <w:color w:val="003B74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003B74"/>
          <w:lang w:eastAsia="fr-FR"/>
        </w:rPr>
        <w:t>EBOLA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En Guinée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u w:val="single"/>
          <w:lang w:eastAsia="fr-FR"/>
        </w:rPr>
        <w:t> 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:</w:t>
      </w: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 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2 nouveaux cas entre le 17 et le 22 septembre 2015.  Le dernier cas rapporté dans le pays datait du 1er septembre 2015.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En Sierra Leone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: 6 nouveaux cas depuis le 7 septembre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 xml:space="preserve">4 nouveaux cas dans le district de </w:t>
      </w:r>
      <w:proofErr w:type="spellStart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Kambia</w:t>
      </w:r>
      <w:proofErr w:type="spellEnd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 xml:space="preserve">, tous liés à la même chaîne de transmission (patiente de 60 ans testée Ebola positif en post-mortem) et 1 autre cas confirmé  post mortem le 13 septembre 2015 dans le district de </w:t>
      </w:r>
      <w:proofErr w:type="spellStart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Bombali</w:t>
      </w:r>
      <w:proofErr w:type="spellEnd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 xml:space="preserve"> dans lequel aucun cas n’avait été rapporté depuis 6 mois: une jeune fille de 16 ans, qui n’avait pas d’historique récent de déplacement en dehors du district,  l’origine de la contamination est en cours d’investigation.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Au Libéria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u w:val="single"/>
          <w:lang w:eastAsia="fr-FR"/>
        </w:rPr>
        <w:t> 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: pour rappel, déclaration de la fin de l’épidémie d’Ebola par l’OMS le 3 septembre 2015.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</w:t>
      </w:r>
    </w:p>
    <w:p w:rsidR="00AB170B" w:rsidRPr="00AB170B" w:rsidRDefault="00AB170B" w:rsidP="006C31DE">
      <w:pPr>
        <w:spacing w:before="272" w:after="68" w:line="240" w:lineRule="auto"/>
        <w:outlineLvl w:val="2"/>
        <w:rPr>
          <w:rFonts w:ascii="Helvetica" w:eastAsia="Times New Roman" w:hAnsi="Helvetica" w:cs="Helvetica"/>
          <w:b/>
          <w:bCs/>
          <w:color w:val="003B74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003B74"/>
          <w:lang w:eastAsia="fr-FR"/>
        </w:rPr>
        <w:t>COQUELUCHE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  <w:t>Espagne :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 le nombre de cas de coqueluche est en augmentation.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Depuis le début de l’année 2015, le nombre de cas est supérieur à celui de toute l’année précédente (augmentation de 54%)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En 32 semaines, l’institut Carlos III a notifié 4822 nouveaux cas.</w:t>
      </w:r>
    </w:p>
    <w:p w:rsidR="00AB170B" w:rsidRPr="00AB170B" w:rsidRDefault="00AB170B" w:rsidP="006C31DE">
      <w:pPr>
        <w:spacing w:before="41" w:after="109" w:line="258" w:lineRule="atLeast"/>
        <w:jc w:val="both"/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</w:pPr>
      <w:r w:rsidRPr="00AB170B">
        <w:rPr>
          <w:rFonts w:ascii="Helvetica" w:eastAsia="Times New Roman" w:hAnsi="Helvetica" w:cs="Helvetica"/>
          <w:color w:val="2E465D"/>
          <w:sz w:val="18"/>
          <w:szCs w:val="18"/>
          <w:u w:val="single"/>
          <w:lang w:eastAsia="fr-FR"/>
        </w:rPr>
        <w:t>En pratique</w:t>
      </w:r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 xml:space="preserve"> A: le calendrier des vaccinations français a été modifié ces dernières années. Un rappel chez l’adulte est indiqué .la valence coqueluche n’existe pas seule elle est associée à </w:t>
      </w:r>
      <w:proofErr w:type="spellStart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>dTP</w:t>
      </w:r>
      <w:proofErr w:type="spellEnd"/>
      <w:r w:rsidRPr="00AB170B">
        <w:rPr>
          <w:rFonts w:ascii="Helvetica" w:eastAsia="Times New Roman" w:hAnsi="Helvetica" w:cs="Helvetica"/>
          <w:color w:val="2E465D"/>
          <w:sz w:val="18"/>
          <w:szCs w:val="18"/>
          <w:lang w:eastAsia="fr-FR"/>
        </w:rPr>
        <w:t xml:space="preserve"> .Tous les détails concernant cette vaccination sont disponible sur le lien suivant :</w:t>
      </w:r>
    </w:p>
    <w:p w:rsidR="00AB170B" w:rsidRDefault="00AB170B" w:rsidP="006C31DE">
      <w:hyperlink r:id="rId5" w:history="1">
        <w:r w:rsidRPr="00AB170B">
          <w:rPr>
            <w:rFonts w:ascii="Helvetica" w:eastAsia="Times New Roman" w:hAnsi="Helvetica" w:cs="Helvetica"/>
            <w:color w:val="0067C7"/>
            <w:sz w:val="18"/>
            <w:u w:val="single"/>
            <w:lang w:eastAsia="fr-FR"/>
          </w:rPr>
          <w:t>https://www.mesvaccins.net/web/news/5238-vaccination-contre-la-coqueluche-nouvelles-recommandations-pour-les-adultes</w:t>
        </w:r>
      </w:hyperlink>
    </w:p>
    <w:p w:rsidR="00AB170B" w:rsidRDefault="00AB170B" w:rsidP="006C31DE"/>
    <w:p w:rsidR="00AB170B" w:rsidRDefault="00AB170B" w:rsidP="006C31DE"/>
    <w:p w:rsidR="00AB170B" w:rsidRPr="00AB170B" w:rsidRDefault="00AB170B" w:rsidP="006C31DE"/>
    <w:sectPr w:rsidR="00AB170B" w:rsidRPr="00AB170B" w:rsidSect="0050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170B"/>
    <w:rsid w:val="005000CD"/>
    <w:rsid w:val="006C31DE"/>
    <w:rsid w:val="00AB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0B"/>
  </w:style>
  <w:style w:type="paragraph" w:styleId="Titre1">
    <w:name w:val="heading 1"/>
    <w:basedOn w:val="Normal"/>
    <w:link w:val="Titre1Car"/>
    <w:uiPriority w:val="9"/>
    <w:qFormat/>
    <w:rsid w:val="00AB1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B1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17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B170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170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B17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6647">
          <w:marLeft w:val="27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596">
          <w:marLeft w:val="27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4808">
          <w:marLeft w:val="27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esvaccins.net/web/news/5238-vaccination-contre-la-coqueluche-nouvelles-recommandations-pour-les-adul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460F9-4FE1-45E2-A9EC-88370781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1</cp:revision>
  <dcterms:created xsi:type="dcterms:W3CDTF">2018-10-11T08:50:00Z</dcterms:created>
  <dcterms:modified xsi:type="dcterms:W3CDTF">2018-10-11T09:05:00Z</dcterms:modified>
</cp:coreProperties>
</file>