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2C7D" w:rsidRPr="00542C7D" w:rsidRDefault="00542C7D" w:rsidP="00542C7D">
      <w:pPr>
        <w:spacing w:before="225" w:after="150" w:line="240" w:lineRule="auto"/>
        <w:outlineLvl w:val="0"/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</w:pPr>
      <w:r w:rsidRPr="00542C7D">
        <w:rPr>
          <w:rFonts w:ascii="Lucida Sans Unicode" w:eastAsia="Times New Roman" w:hAnsi="Lucida Sans Unicode" w:cs="Lucida Sans Unicode"/>
          <w:color w:val="004C93"/>
          <w:kern w:val="36"/>
          <w:sz w:val="45"/>
          <w:szCs w:val="45"/>
          <w:lang w:eastAsia="fr-FR"/>
        </w:rPr>
        <w:t>Bulletin Mai 2016</w:t>
      </w:r>
    </w:p>
    <w:p w:rsidR="00542C7D" w:rsidRPr="00542C7D" w:rsidRDefault="00542C7D" w:rsidP="00542C7D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18"/>
          <w:lang w:eastAsia="fr-FR"/>
        </w:rPr>
      </w:pPr>
    </w:p>
    <w:p w:rsidR="00542C7D" w:rsidRPr="00542C7D" w:rsidRDefault="00542C7D" w:rsidP="00542C7D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GRIPPE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France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L’épidémie est terminée. Ce fut une épidémie tardive, longue (12 semaines), d’ampleur et de gravité modérée, dominée par le virus de type B. Des cas sporadiques continuent à être détectés.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Il y a eu 2,3 millions de consultations pour syndrome grippal cette saison ; 71% de virus B en ambulatoire. La majorité des virus B était de la lignée Victoria. Cette souche était présente dans le vaccin tétravalent mais pas dans le vaccin trivalent utilisé couramment (souche B Yamagata). 1050 cas graves ont été admis en réanimation dont 167 décès.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542C7D" w:rsidRPr="00542C7D" w:rsidRDefault="00542C7D" w:rsidP="00542C7D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VIRUS ZIKA :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Monde :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 Depuis octobre 2015 et le début de l’épidémie au Brésil,   51 pays ont signalé des cas autochtones de virus </w:t>
      </w:r>
      <w:proofErr w:type="spell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Zika</w:t>
      </w:r>
      <w:proofErr w:type="spell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Selon les données probantes disponibles à l’heure actuelle, une relation de cause à effet entre l’infection par le virus </w:t>
      </w:r>
      <w:proofErr w:type="spell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Zika</w:t>
      </w:r>
      <w:proofErr w:type="spell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et la microcéphalie ou d’autres anomalies graves du cerveau chez le nourrisson a été reconnue au sein de la communauté scientifique</w:t>
      </w:r>
      <w:r w:rsidRPr="00542C7D">
        <w:rPr>
          <w:rFonts w:ascii="Helvetica" w:eastAsia="Times New Roman" w:hAnsi="Helvetica" w:cs="Helvetica"/>
          <w:color w:val="2E465D"/>
          <w:sz w:val="15"/>
          <w:szCs w:val="15"/>
          <w:vertAlign w:val="superscript"/>
          <w:lang w:eastAsia="fr-FR"/>
        </w:rPr>
        <w:t>.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 Une étude cas-témoins réalisée en Polynésie française estime un risque de développer le SGB de 0,24 pour 1 000 personnes infectées par le virus </w:t>
      </w:r>
      <w:proofErr w:type="spell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Zika</w:t>
      </w:r>
      <w:proofErr w:type="spell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. On a également signalé des cas d’encéphalomyélite aiguë disséminée suivant l’infection par le virus </w:t>
      </w:r>
      <w:proofErr w:type="spell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Zika</w:t>
      </w:r>
      <w:proofErr w:type="spell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Au 19 mai 23 cas de  transmission sexuelle du virus </w:t>
      </w:r>
      <w:proofErr w:type="spell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Zika</w:t>
      </w:r>
      <w:proofErr w:type="spell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ont été notifiés dont 5 en France.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Rapport de l’OMS sur cette épidémie  </w:t>
      </w:r>
      <w:hyperlink r:id="rId4" w:history="1">
        <w:r w:rsidRPr="00542C7D">
          <w:rPr>
            <w:rFonts w:ascii="Helvetica" w:eastAsia="Times New Roman" w:hAnsi="Helvetica" w:cs="Helvetica"/>
            <w:color w:val="0067C7"/>
            <w:sz w:val="20"/>
            <w:lang w:eastAsia="fr-FR"/>
          </w:rPr>
          <w:t>http://apps.who.int/iris/bitstream/10665/206537/1/zikasitrep_19May2016_eng.pdf</w:t>
        </w:r>
      </w:hyperlink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Europe: 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Au 17 mai 607 cas d’importation ont été signalés dans 18 pays européens. 34  cas chez des femmes enceintes. La surveillance n’est pas systématisée et ces chiffres ne sont donc pas exhaustifs.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Ile de la Réunion : 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2 cas importés de Martinique au 25 avril 2016. Le vecteur est présent sur l’Ile ou des épidémies de </w:t>
      </w:r>
      <w:proofErr w:type="spell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chikungunya</w:t>
      </w:r>
      <w:proofErr w:type="spell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et de dengue ont été signalées par le passé. Pas de cas autochtone à ce jour. </w:t>
      </w: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Antilles Guyane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: épidémie en cours dans tous ces territoires.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La Martinique est la plus touchée avec 25 000 cas depuis le début de l’épidémie.et deux cas de microcéphalie.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542C7D" w:rsidRPr="00542C7D" w:rsidRDefault="00542C7D" w:rsidP="00542C7D">
      <w:pPr>
        <w:spacing w:before="300" w:after="75" w:line="240" w:lineRule="auto"/>
        <w:outlineLvl w:val="2"/>
        <w:rPr>
          <w:rFonts w:ascii="Helvetica" w:eastAsia="Times New Roman" w:hAnsi="Helvetica" w:cs="Helvetica"/>
          <w:b/>
          <w:bCs/>
          <w:color w:val="003B74"/>
          <w:sz w:val="24"/>
          <w:szCs w:val="24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003B74"/>
          <w:sz w:val="24"/>
          <w:lang w:eastAsia="fr-FR"/>
        </w:rPr>
        <w:t>FIEVRE JAUNE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Angola : 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Depuis décembre 2015 une épidémie de fièvre jaune a lieu en Angola.au 11 mai 2267 cas et 300 décès. L’épidémie touche la capitale, Luanda et s’est étendue à presque tout le pays. Le nombre de nouveau cas diminue nettement mais la circulation du virus persiste alors que 7 million de personne (sur une population de 24 millions) ont été vaccinés depuis février 2016.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lastRenderedPageBreak/>
        <w:t>5 Pays ont signalés des cas importés d’Angola : La république démocratique du Congo (39 cas) le Kenya (2 cas) la Chine (11 cas), en Mauritanie (1 cas) et en Namibie (1 cas).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Rapport de l’OMS sur ce sujet </w:t>
      </w:r>
      <w:proofErr w:type="gram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:</w:t>
      </w:r>
      <w:proofErr w:type="gram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fldChar w:fldCharType="begin"/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instrText xml:space="preserve"> HYPERLINK "http://apps.who.int/iris/bitstream/10665/206312/1/yellowsitrep_12May2016_eng.pdf" </w:instrTex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fldChar w:fldCharType="separate"/>
      </w:r>
      <w:r w:rsidRPr="00542C7D">
        <w:rPr>
          <w:rFonts w:ascii="Helvetica" w:eastAsia="Times New Roman" w:hAnsi="Helvetica" w:cs="Helvetica"/>
          <w:color w:val="0067C7"/>
          <w:sz w:val="20"/>
          <w:lang w:eastAsia="fr-FR"/>
        </w:rPr>
        <w:t>http://apps.who.int/iris/bitstream/10665/206312/1/yellowsitrep_12May2016_eng.pdf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fldChar w:fldCharType="end"/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République démocratique du Congo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  <w:proofErr w:type="gramStart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:En</w:t>
      </w:r>
      <w:proofErr w:type="gramEnd"/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 xml:space="preserve"> dehors des cas importés d’Angola, une circulation du virus a été mise en évidence à Kinshasa, la capitale avec un cas autochtone.il y a un risque d’extension de l’épidémie dans cette ville aux   millions d’habitants ainsi qu’à Brazzaville (de l’autre côté du fleuve) .une campagne de vaccination est programmée à compter de la mi- mai.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 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b/>
          <w:bCs/>
          <w:color w:val="2E465D"/>
          <w:sz w:val="20"/>
          <w:lang w:eastAsia="fr-FR"/>
        </w:rPr>
        <w:t>Ouganda</w:t>
      </w: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: Epidémie sans lien avec l’Angola. Du 26 mars au 19 mai, 60 cas et 7 décès notifiés. Campagne de vaccination prévue.</w:t>
      </w:r>
    </w:p>
    <w:p w:rsidR="00542C7D" w:rsidRPr="00542C7D" w:rsidRDefault="00542C7D" w:rsidP="00542C7D">
      <w:pPr>
        <w:spacing w:before="45" w:after="120" w:line="285" w:lineRule="atLeast"/>
        <w:jc w:val="both"/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</w:pPr>
      <w:r w:rsidRPr="00542C7D">
        <w:rPr>
          <w:rFonts w:ascii="Helvetica" w:eastAsia="Times New Roman" w:hAnsi="Helvetica" w:cs="Helvetica"/>
          <w:color w:val="2E465D"/>
          <w:sz w:val="20"/>
          <w:szCs w:val="20"/>
          <w:lang w:eastAsia="fr-FR"/>
        </w:rPr>
        <w:t>Pour tous ces pays, les quantités de vaccins nécessaires sont énormes et l’approvisionnement parfois insuffisant. </w:t>
      </w:r>
    </w:p>
    <w:p w:rsidR="00396817" w:rsidRDefault="00396817" w:rsidP="00542C7D"/>
    <w:sectPr w:rsidR="00396817" w:rsidSect="003968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542C7D"/>
    <w:rsid w:val="00396817"/>
    <w:rsid w:val="00542C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817"/>
  </w:style>
  <w:style w:type="paragraph" w:styleId="Titre1">
    <w:name w:val="heading 1"/>
    <w:basedOn w:val="Normal"/>
    <w:link w:val="Titre1Car"/>
    <w:uiPriority w:val="9"/>
    <w:qFormat/>
    <w:rsid w:val="00542C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3">
    <w:name w:val="heading 3"/>
    <w:basedOn w:val="Normal"/>
    <w:link w:val="Titre3Car"/>
    <w:uiPriority w:val="9"/>
    <w:qFormat/>
    <w:rsid w:val="00542C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542C7D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542C7D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character" w:styleId="lev">
    <w:name w:val="Strong"/>
    <w:basedOn w:val="Policepardfaut"/>
    <w:uiPriority w:val="22"/>
    <w:qFormat/>
    <w:rsid w:val="00542C7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42C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542C7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353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apps.who.int/iris/bitstream/10665/206537/1/zikasitrep_19May2016_eng.pdf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2969</Characters>
  <Application>Microsoft Office Word</Application>
  <DocSecurity>0</DocSecurity>
  <Lines>24</Lines>
  <Paragraphs>7</Paragraphs>
  <ScaleCrop>false</ScaleCrop>
  <Company>Microsoft</Company>
  <LinksUpToDate>false</LinksUpToDate>
  <CharactersWithSpaces>3501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Cedric</dc:creator>
  <cp:lastModifiedBy>Cedric</cp:lastModifiedBy>
  <cp:revision>1</cp:revision>
  <dcterms:created xsi:type="dcterms:W3CDTF">2018-10-11T09:18:00Z</dcterms:created>
  <dcterms:modified xsi:type="dcterms:W3CDTF">2018-10-11T09:19:00Z</dcterms:modified>
</cp:coreProperties>
</file>